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D4" w:rsidRDefault="00576DD4" w:rsidP="00576D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A84">
        <w:rPr>
          <w:rFonts w:ascii="Times New Roman" w:hAnsi="Times New Roman" w:cs="Times New Roman"/>
          <w:b/>
          <w:sz w:val="40"/>
          <w:szCs w:val="40"/>
        </w:rPr>
        <w:t>Информация о повышении в марте 2022 года Банком России ключевой ставки до 20%</w:t>
      </w:r>
    </w:p>
    <w:p w:rsidR="00576DD4" w:rsidRPr="00EF5A84" w:rsidRDefault="00576DD4" w:rsidP="00576D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D4" w:rsidRPr="00EF5A84" w:rsidRDefault="00576DD4" w:rsidP="00576DD4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>
        <w:rPr>
          <w:rStyle w:val="a4"/>
          <w:color w:val="2B2E33"/>
          <w:spacing w:val="-3"/>
          <w:sz w:val="28"/>
          <w:szCs w:val="28"/>
        </w:rPr>
        <w:t xml:space="preserve">Банк России в марте </w:t>
      </w:r>
      <w:r w:rsidRPr="00EF5A84">
        <w:rPr>
          <w:rStyle w:val="a4"/>
          <w:color w:val="2B2E33"/>
          <w:spacing w:val="-3"/>
          <w:sz w:val="28"/>
          <w:szCs w:val="28"/>
        </w:rPr>
        <w:t xml:space="preserve"> </w:t>
      </w:r>
      <w:r>
        <w:rPr>
          <w:rStyle w:val="a4"/>
          <w:color w:val="2B2E33"/>
          <w:spacing w:val="-3"/>
          <w:sz w:val="28"/>
          <w:szCs w:val="28"/>
        </w:rPr>
        <w:t xml:space="preserve"> </w:t>
      </w:r>
      <w:proofErr w:type="gramStart"/>
      <w:r w:rsidRPr="00EF5A84">
        <w:rPr>
          <w:rStyle w:val="a4"/>
          <w:color w:val="2B2E33"/>
          <w:spacing w:val="-3"/>
          <w:sz w:val="28"/>
          <w:szCs w:val="28"/>
        </w:rPr>
        <w:t>принял </w:t>
      </w:r>
      <w:r>
        <w:rPr>
          <w:rStyle w:val="a4"/>
          <w:color w:val="2B2E33"/>
          <w:spacing w:val="-3"/>
          <w:sz w:val="28"/>
          <w:szCs w:val="28"/>
        </w:rPr>
        <w:t xml:space="preserve"> </w:t>
      </w:r>
      <w:r w:rsidRPr="00EF5A84">
        <w:rPr>
          <w:b/>
          <w:sz w:val="28"/>
          <w:szCs w:val="28"/>
        </w:rPr>
        <w:t>решение</w:t>
      </w:r>
      <w:proofErr w:type="gramEnd"/>
      <w:r w:rsidRPr="00EF5A84">
        <w:rPr>
          <w:rStyle w:val="a4"/>
          <w:color w:val="2B2E33"/>
          <w:spacing w:val="-3"/>
          <w:sz w:val="28"/>
          <w:szCs w:val="28"/>
        </w:rPr>
        <w:t xml:space="preserve"> повысить ключевую ставку до 20% годовых.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Условия для российской экономики кардинально поменялись. Новые иностранные санкции привели к значительному изменению обменного курса рубля, ограничили возможность использования нами золотовалютных резервов. Это требует от нас применения широкого спектра инструментов поддержания финансовой стабильности.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Динамика обменного курса — это дополнительный </w:t>
      </w:r>
      <w:proofErr w:type="spellStart"/>
      <w:r w:rsidRPr="00EF5A84">
        <w:rPr>
          <w:color w:val="2B2E33"/>
          <w:spacing w:val="-3"/>
          <w:sz w:val="28"/>
          <w:szCs w:val="28"/>
        </w:rPr>
        <w:t>проинфляционный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фактор. Она и влияет на текущие цены товаров, и приводит к резкому росту девальвационных и инфляционных ожиданий. Для поддержания привлекательности депозитов и защиты сбережений граждан от обесценения нужно повысить процентные ставки до уровней, которые компенсируют гражданам возросшие инфляционные риски.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Дальнейшие решения по денежно-кредитной политике мы будем принимать исходя из изменения фактической ситуации, оценки рисков в первую очередь в части внешних условий. Денежно-кредитная политика будет направлена на поддержание финансовой и ценовой стабильности.</w:t>
      </w:r>
    </w:p>
    <w:p w:rsidR="00576DD4" w:rsidRPr="00EF5A84" w:rsidRDefault="00576DD4" w:rsidP="00576DD4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rStyle w:val="a4"/>
          <w:color w:val="2B2E33"/>
          <w:spacing w:val="-3"/>
          <w:sz w:val="28"/>
          <w:szCs w:val="28"/>
        </w:rPr>
        <w:t>Теперь о других мерах, которые мы сейчас реализуем.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Наша финансовая система и экономика сталкиваются сейчас с совершенно нестандартной ситуацией, и Банк России будет очень гибко подходить к использованию любых необходимых инструментов.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части ликвидности банковского сектора. Банк России непрерывно предоставляет банкам наличную и безналичную ликвидность в рублях. В связи с высоким спросом </w:t>
      </w:r>
      <w:proofErr w:type="gramStart"/>
      <w:r w:rsidRPr="00EF5A84">
        <w:rPr>
          <w:color w:val="2B2E33"/>
          <w:spacing w:val="-3"/>
          <w:sz w:val="28"/>
          <w:szCs w:val="28"/>
        </w:rPr>
        <w:t>на</w:t>
      </w:r>
      <w:r>
        <w:rPr>
          <w:color w:val="2B2E33"/>
          <w:spacing w:val="-3"/>
          <w:sz w:val="28"/>
          <w:szCs w:val="28"/>
        </w:rPr>
        <w:t xml:space="preserve"> </w:t>
      </w:r>
      <w:r w:rsidRPr="00EF5A84">
        <w:rPr>
          <w:color w:val="2B2E33"/>
          <w:spacing w:val="-3"/>
          <w:sz w:val="28"/>
          <w:szCs w:val="28"/>
        </w:rPr>
        <w:t> наличные</w:t>
      </w:r>
      <w:proofErr w:type="gramEnd"/>
      <w:r w:rsidRPr="00EF5A84">
        <w:rPr>
          <w:color w:val="2B2E33"/>
          <w:spacing w:val="-3"/>
          <w:sz w:val="28"/>
          <w:szCs w:val="28"/>
        </w:rPr>
        <w:t xml:space="preserve"> банковский сектор перешел в структурный дефицит ликвидности. Банки располагают достаточным запасом обеспечения для того, чтобы наращивать объем привлечения ликвидности от Банка России при необходимости.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части валютного рынка. Банк России в четверг и пятницу провел валютные интервенции: в четверг — в объеме 1 млрд долларов США и в меньшем объеме — в пятницу. В связи с ограничениями на использование </w:t>
      </w:r>
      <w:proofErr w:type="gramStart"/>
      <w:r w:rsidRPr="00EF5A84">
        <w:rPr>
          <w:color w:val="2B2E33"/>
          <w:spacing w:val="-3"/>
          <w:sz w:val="28"/>
          <w:szCs w:val="28"/>
        </w:rPr>
        <w:t>золото-валютных</w:t>
      </w:r>
      <w:proofErr w:type="gramEnd"/>
      <w:r w:rsidRPr="00EF5A84">
        <w:rPr>
          <w:color w:val="2B2E33"/>
          <w:spacing w:val="-3"/>
          <w:sz w:val="28"/>
          <w:szCs w:val="28"/>
        </w:rPr>
        <w:t xml:space="preserve"> резервов в долларах и евро сегодня интервенции нами не проводились. Правительство объявило решение о введении обязательной продажи 80% экспортной выручки. Эта мера позволит обеспечить равномерное предложение иностранной валюты на внутреннем валютном рынке </w:t>
      </w:r>
      <w:r w:rsidRPr="00EF5A84">
        <w:rPr>
          <w:color w:val="2B2E33"/>
          <w:spacing w:val="-3"/>
          <w:sz w:val="28"/>
          <w:szCs w:val="28"/>
        </w:rPr>
        <w:lastRenderedPageBreak/>
        <w:t>для удовлетворения потребностей импортеров и граждан. При этом мы реализуем ряд шагов, направленных на ограничение вывоза капитала нерезидентами.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Мы постоянно </w:t>
      </w:r>
      <w:proofErr w:type="spellStart"/>
      <w:r w:rsidRPr="00EF5A84">
        <w:rPr>
          <w:color w:val="2B2E33"/>
          <w:spacing w:val="-3"/>
          <w:sz w:val="28"/>
          <w:szCs w:val="28"/>
        </w:rPr>
        <w:t>мониторим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биржевые торги и при необходимости принимаем меры. В частности, уже введены ограничения на продажи ценных бумаг нерезидентами.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постоянно находимся в контакте с банками и готовы оперативно принимать необходимые меры для их поддержки. Так, принят ряд регуляторных послаблений, и мы будем дальше отслеживать потребности банков в механизмах, облегчающих для них работу в новых условиях.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дали банкам право не переоценивать свои вложения в ценные бумаги, а также валютные активы и обязательства в целях расчета нормативов. Это даст им возможность постепенно подстроиться к изменившейся ситуации.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не будем применять меры за несоблюдение лимитов открытых валютных позиций к банкам, в отношении которых введены иностранные санкции. Приняли ряд мер, позволяющих банкам не увеличивать резервы в течение года.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рамках </w:t>
      </w:r>
      <w:proofErr w:type="spellStart"/>
      <w:r w:rsidRPr="00EF5A84">
        <w:rPr>
          <w:color w:val="2B2E33"/>
          <w:spacing w:val="-3"/>
          <w:sz w:val="28"/>
          <w:szCs w:val="28"/>
        </w:rPr>
        <w:t>контрциклической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</w:t>
      </w:r>
      <w:proofErr w:type="spellStart"/>
      <w:r w:rsidRPr="00EF5A84">
        <w:rPr>
          <w:color w:val="2B2E33"/>
          <w:spacing w:val="-3"/>
          <w:sz w:val="28"/>
          <w:szCs w:val="28"/>
        </w:rPr>
        <w:t>макропруденциальной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политики мы распустили накопленные буферы по всем видам кредитов: и по валютным кредитам компаниям, и по кредитам гражданам. Эти меры эквивалентны увеличению капитала банков на 900 млрд рублей.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Очень важно в текущей ситуации поддержать не только банки, но и их клиентов. Граждане и компании также сталкиваются с ухудшением финансового положения в результате введенных </w:t>
      </w:r>
      <w:proofErr w:type="spellStart"/>
      <w:r w:rsidRPr="00EF5A84">
        <w:rPr>
          <w:color w:val="2B2E33"/>
          <w:spacing w:val="-3"/>
          <w:sz w:val="28"/>
          <w:szCs w:val="28"/>
        </w:rPr>
        <w:t>санкционных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ограничений. В связи с этим мы рекомендуем банкам идти навстречу клиентам: проводить реструктуризации кредитов, не назначать пени и штрафы по таким кредитам. Это касается кредитов и граждан, и бизнеса. При этом банки могут не ухудшать оценку финансового положения заемщиков и качество обслуживания долга.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В условиях роста ключевой ставки увеличиваются платежи по кредитам с плавающими ставками. В рознице таких кредитов практически нет: в ипотеке нет вовсе, в потребительском кредитовании — минимум. И я хотела бы подчеркнуть, что по действующим кредитам, выданным по фиксированным ставкам, банки не могут изменять условия. Если в рознице плавающих ставок нет, то в корпоративном кредитовании банки в последние годы для ограничения своего процентного риска активно увеличивали долю таких кредитов.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Тем не менее мы оцениваем риск возможной трансформации процентного риска в кредитный как ограниченный: как правило, заемщиками по таким кредитам являются крупные компании с высокой кредитоспособностью. В случае если </w:t>
      </w:r>
      <w:r w:rsidRPr="00EF5A84">
        <w:rPr>
          <w:color w:val="2B2E33"/>
          <w:spacing w:val="-3"/>
          <w:sz w:val="28"/>
          <w:szCs w:val="28"/>
        </w:rPr>
        <w:lastRenderedPageBreak/>
        <w:t>заемщик испытывает сложности по кредиту с плавающей ставкой и банк готов реструктурировать такой кредит, мы также готовы предоставить регуляторные послабления по резервам.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 xml:space="preserve">В текущей ситуации важно сохранять возможности для кредитования и граждан, и бизнеса. Банки традиционно становятся консервативными в условиях кризиса и замедляют кредитование. Поэтому мы уже предоставили банкам гибкость, временно приостановив действие ограничения на полную стоимость потребительского кредита. Также Банк России в ближайшее время скорректирует </w:t>
      </w:r>
      <w:proofErr w:type="spellStart"/>
      <w:r w:rsidRPr="00EF5A84">
        <w:rPr>
          <w:color w:val="2B2E33"/>
          <w:spacing w:val="-3"/>
          <w:sz w:val="28"/>
          <w:szCs w:val="28"/>
        </w:rPr>
        <w:t>макропруденциальные</w:t>
      </w:r>
      <w:proofErr w:type="spellEnd"/>
      <w:r w:rsidRPr="00EF5A84">
        <w:rPr>
          <w:color w:val="2B2E33"/>
          <w:spacing w:val="-3"/>
          <w:sz w:val="28"/>
          <w:szCs w:val="28"/>
        </w:rPr>
        <w:t xml:space="preserve"> надбавки по необеспеченным кредитам и по ипотеке, оставив надбавки только по наиболее рискованным кредитам: с наибольшим уровнем ПСК, с высоким показателем долговой нагрузки, а в ипотеке — с высоким LTV. По остальным кредитам надбавки планируется отменить, чтобы поддержать доступность кредитования.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Все банки выполняют и будут выполнять все обязательства перед своими клиентами. Все средства на счетах сохранены, все операции для клиентов доступны.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ввели регуляторные послабления для страховых компаний, профессиональных участников рынка. Будем рассматривать и иные послабления, чтобы гарантировать исполнение всех обязательств перед клиентами.</w:t>
      </w:r>
    </w:p>
    <w:p w:rsidR="00576DD4" w:rsidRPr="00EF5A8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Мы развивали внутреннюю финансовую инфраструктуру, поэтому она будет работать бесперебойно. Так, у нас есть Система передачи финансовых сообщений (СПФС), которая может заменить SWIFT внутри страны, к ней могут присоединяться участники из-за границы. Национальная система платежных карт обрабатывает весь внутрироссийский трафик по платежным картам. Карты международных платежных систем, выпущенные банками, попавшими под санкции, продолжат работать внутри страны как обычно.</w:t>
      </w:r>
    </w:p>
    <w:p w:rsidR="00576DD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EF5A84">
        <w:rPr>
          <w:color w:val="2B2E33"/>
          <w:spacing w:val="-3"/>
          <w:sz w:val="28"/>
          <w:szCs w:val="28"/>
        </w:rPr>
        <w:t>Банк России будет принимать все необходимые меры для защиты финансовой и ценовой стабильности, поддержки российского финансового сектора и защиты благополучия граждан и экономики в целом.</w:t>
      </w:r>
    </w:p>
    <w:p w:rsidR="00576DD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576DD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576DD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576DD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576DD4" w:rsidRDefault="00576DD4" w:rsidP="00576DD4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</w:p>
    <w:p w:rsidR="00576DD4" w:rsidRPr="00A443AB" w:rsidRDefault="00576DD4" w:rsidP="00576DD4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B">
        <w:rPr>
          <w:rFonts w:ascii="Times New Roman" w:hAnsi="Times New Roman" w:cs="Times New Roman"/>
          <w:b/>
          <w:sz w:val="28"/>
          <w:szCs w:val="28"/>
        </w:rPr>
        <w:lastRenderedPageBreak/>
        <w:t>Как ключевая ставка влияет на экономику</w:t>
      </w:r>
    </w:p>
    <w:p w:rsidR="00576DD4" w:rsidRPr="00A443AB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Ключевая ставка – основной инструмент денежно-кредитной политики Центрального банка. Это процент, под который ЦБ выдает кредиты коммерческим банкам и принимает от них деньги на депозиты.</w:t>
      </w:r>
    </w:p>
    <w:p w:rsidR="00576DD4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Ключевая ставка прямым образом влияет на инфляцию: чем выше ставка, тем дороже деньги в экономике. Вслед за ставкой ЦБ повышаются ставки по кредитам и депозитам. В такой ситуации люди предпочитают реже брать кредиты и, соответственно, меньше тратить, и чаще делают сбережения. И наоборот: при снижении ключевой ставки люди реже размещают деньги на депозитах и охотней берут кредиты. Это приводит к увеличению спроса, росту цен и разгону инфляции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D4" w:rsidRPr="00A443AB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D4" w:rsidRPr="00A443AB" w:rsidRDefault="00576DD4" w:rsidP="00576DD4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AB">
        <w:rPr>
          <w:rFonts w:ascii="Times New Roman" w:hAnsi="Times New Roman" w:cs="Times New Roman"/>
          <w:b/>
          <w:sz w:val="28"/>
          <w:szCs w:val="28"/>
        </w:rPr>
        <w:t>Что будет со вкладами?</w:t>
      </w:r>
    </w:p>
    <w:p w:rsidR="00576DD4" w:rsidRPr="00A443AB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К настоящему моменту размер ключевой ставки позволил значительно повысить привлекательность рублевых депозитов. Ставки по сберегательным продуктам превысили 20% годовых.</w:t>
      </w:r>
    </w:p>
    <w:p w:rsidR="00576DD4" w:rsidRPr="00A443AB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При этом февральское повышение ключевой ставки в целом достигло своей цели – предотвратить отток рублевых средств из банков и снизить риски системного банковского кризиса. Многие банки уже отчитались о рекордных объемах привлеченных средств.</w:t>
      </w:r>
    </w:p>
    <w:p w:rsidR="00576DD4" w:rsidRPr="00A443AB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Поэтому, после пикового повышения депозитных ставок, некоторые организации начали снижать среднюю ставку по депозитам населению с 20% до 18%.</w:t>
      </w:r>
    </w:p>
    <w:p w:rsidR="00576DD4" w:rsidRPr="00A443AB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A443AB">
        <w:rPr>
          <w:rFonts w:ascii="Times New Roman" w:hAnsi="Times New Roman" w:cs="Times New Roman"/>
          <w:sz w:val="28"/>
          <w:szCs w:val="28"/>
        </w:rPr>
        <w:t>Вероятно, такая тенденция продолжится и в ближайшие месяцы, и ставки по вкладам будут находиться в пределах от 17% до 20%. Так что сейчас есть возможность зафиксировать высокую ставку.</w:t>
      </w:r>
    </w:p>
    <w:p w:rsidR="00576DD4" w:rsidRDefault="00576DD4" w:rsidP="00576DD4">
      <w:pPr>
        <w:rPr>
          <w:rFonts w:ascii="Times New Roman" w:hAnsi="Times New Roman" w:cs="Times New Roman"/>
          <w:sz w:val="28"/>
          <w:szCs w:val="28"/>
        </w:rPr>
      </w:pPr>
    </w:p>
    <w:p w:rsidR="00576DD4" w:rsidRPr="00F23B65" w:rsidRDefault="00576DD4" w:rsidP="00576DD4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65">
        <w:rPr>
          <w:rFonts w:ascii="Times New Roman" w:hAnsi="Times New Roman" w:cs="Times New Roman"/>
          <w:b/>
          <w:sz w:val="28"/>
          <w:szCs w:val="28"/>
        </w:rPr>
        <w:t>Что будет с кредитами</w:t>
      </w:r>
    </w:p>
    <w:p w:rsidR="00576DD4" w:rsidRPr="00F23B65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Ставки по кредитам для населения и бизнеса также вырастут.</w:t>
      </w:r>
    </w:p>
    <w:p w:rsidR="00576DD4" w:rsidRPr="00F23B65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 xml:space="preserve">«Кредиты по ставкам выше 20% смогут обслуживать не все заёмщики, поэтому ждём замедления кредитования и роста дефолтов среди заёмщиков с высокой долговой нагрузкой», — замечает Дмитрий 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Монастыршин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 xml:space="preserve"> из ПСБ.</w:t>
      </w:r>
    </w:p>
    <w:p w:rsidR="00576DD4" w:rsidRPr="00F23B65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 xml:space="preserve">Хотя некоторые банки поспешили обозначить повышение ставок по кредитам, по мере снижения ставки в дальнейшем займы станут более доступны как гражданам, так и бизнесу, что снова будет стимулировать спрос и </w:t>
      </w:r>
      <w:r w:rsidRPr="00F23B65">
        <w:rPr>
          <w:rFonts w:ascii="Times New Roman" w:hAnsi="Times New Roman" w:cs="Times New Roman"/>
          <w:sz w:val="28"/>
          <w:szCs w:val="28"/>
        </w:rPr>
        <w:lastRenderedPageBreak/>
        <w:t>производство в стране, </w:t>
      </w:r>
      <w:hyperlink r:id="rId5" w:tgtFrame="_blank" w:history="1">
        <w:r w:rsidRPr="00F23B65">
          <w:rPr>
            <w:rStyle w:val="a5"/>
            <w:rFonts w:ascii="Times New Roman" w:hAnsi="Times New Roman" w:cs="Times New Roman"/>
            <w:sz w:val="28"/>
            <w:szCs w:val="28"/>
          </w:rPr>
          <w:t>считает</w:t>
        </w:r>
      </w:hyperlink>
      <w:r w:rsidRPr="00F23B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 xml:space="preserve"> школы независимых финансовых консультантов 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Finliberty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 xml:space="preserve"> Светлана Самойлова.</w:t>
      </w:r>
    </w:p>
    <w:p w:rsidR="00576DD4" w:rsidRPr="00F23B65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По уже выданным кредитам банки не смогут в одностороннем порядке повысить ставку — вне зависимости от повышения ставки ЦБ, — если только в договоре не прописана плавающая ставка. Об этом, например, ещё в 2014 году </w:t>
      </w:r>
      <w:hyperlink r:id="rId6" w:tgtFrame="_blank" w:history="1">
        <w:r w:rsidRPr="00F23B65">
          <w:rPr>
            <w:rStyle w:val="a5"/>
            <w:rFonts w:ascii="Times New Roman" w:hAnsi="Times New Roman" w:cs="Times New Roman"/>
            <w:sz w:val="28"/>
            <w:szCs w:val="28"/>
          </w:rPr>
          <w:t>рассказывал</w:t>
        </w:r>
      </w:hyperlink>
      <w:r w:rsidRPr="00F23B65">
        <w:rPr>
          <w:rFonts w:ascii="Times New Roman" w:hAnsi="Times New Roman" w:cs="Times New Roman"/>
          <w:sz w:val="28"/>
          <w:szCs w:val="28"/>
        </w:rPr>
        <w:t xml:space="preserve"> «РИА Новости» министр строительства и жилищно-коммунального хозяйства РФ Михаил </w:t>
      </w:r>
      <w:proofErr w:type="spellStart"/>
      <w:r w:rsidRPr="00F23B65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F23B65">
        <w:rPr>
          <w:rFonts w:ascii="Times New Roman" w:hAnsi="Times New Roman" w:cs="Times New Roman"/>
          <w:sz w:val="28"/>
          <w:szCs w:val="28"/>
        </w:rPr>
        <w:t>.</w:t>
      </w:r>
    </w:p>
    <w:p w:rsidR="00576DD4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В пресс-релизе Альфа-Банка также говорится, что банк не будет менять ставки по уже выданным потребительским кредитам и ипотеке.</w:t>
      </w:r>
    </w:p>
    <w:p w:rsidR="00576DD4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D4" w:rsidRPr="00F23B65" w:rsidRDefault="00576DD4" w:rsidP="00576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D4" w:rsidRPr="00F23B65" w:rsidRDefault="00576DD4" w:rsidP="00576DD4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65">
        <w:rPr>
          <w:rFonts w:ascii="Times New Roman" w:hAnsi="Times New Roman" w:cs="Times New Roman"/>
          <w:b/>
          <w:sz w:val="28"/>
          <w:szCs w:val="28"/>
        </w:rPr>
        <w:t>Чего ждать дальше?</w:t>
      </w:r>
    </w:p>
    <w:p w:rsidR="00576DD4" w:rsidRPr="00F23B65" w:rsidRDefault="00576DD4" w:rsidP="00576DD4">
      <w:pPr>
        <w:jc w:val="both"/>
        <w:rPr>
          <w:rFonts w:ascii="Times New Roman" w:hAnsi="Times New Roman" w:cs="Times New Roman"/>
          <w:sz w:val="28"/>
          <w:szCs w:val="28"/>
        </w:rPr>
      </w:pPr>
      <w:r w:rsidRPr="00F23B65">
        <w:rPr>
          <w:rFonts w:ascii="Times New Roman" w:hAnsi="Times New Roman" w:cs="Times New Roman"/>
          <w:sz w:val="28"/>
          <w:szCs w:val="28"/>
        </w:rPr>
        <w:t>В краткосрочной перспективе процентная политика банков будет зависеть от успехов политики по стабилизации финансовых рынков, а также конъюнктуры внутреннего денежного рынка, поясняет главный аналитик ПСБ Денис Попов. Благодаря притоку денег вкладчиков и снижению темпов кредитования, у банков на счетах может возникнуть стабильный профицит ликвидности, что повлечет снижение ставок по вкладам населению. Однако, при появлении новых стрессовых условий, вероятен обратный сценарий и новый виток роста процентных ставок.</w:t>
      </w:r>
    </w:p>
    <w:p w:rsidR="00576DD4" w:rsidRPr="00F23B65" w:rsidRDefault="00576DD4" w:rsidP="00576DD4">
      <w:pPr>
        <w:rPr>
          <w:rFonts w:ascii="Times New Roman" w:hAnsi="Times New Roman" w:cs="Times New Roman"/>
          <w:sz w:val="28"/>
          <w:szCs w:val="28"/>
        </w:rPr>
      </w:pPr>
    </w:p>
    <w:p w:rsidR="00576DD4" w:rsidRPr="00F23B65" w:rsidRDefault="00576DD4" w:rsidP="00576DD4">
      <w:pPr>
        <w:rPr>
          <w:rFonts w:ascii="Times New Roman" w:hAnsi="Times New Roman" w:cs="Times New Roman"/>
          <w:sz w:val="28"/>
          <w:szCs w:val="28"/>
        </w:rPr>
      </w:pPr>
    </w:p>
    <w:p w:rsidR="00576DD4" w:rsidRPr="00F23B65" w:rsidRDefault="00576DD4" w:rsidP="00576DD4">
      <w:pPr>
        <w:rPr>
          <w:rFonts w:ascii="Times New Roman" w:hAnsi="Times New Roman" w:cs="Times New Roman"/>
          <w:sz w:val="28"/>
          <w:szCs w:val="28"/>
        </w:rPr>
      </w:pPr>
    </w:p>
    <w:p w:rsidR="00576DD4" w:rsidRPr="00F23B65" w:rsidRDefault="00576DD4" w:rsidP="00576DD4">
      <w:pPr>
        <w:rPr>
          <w:rFonts w:ascii="Times New Roman" w:hAnsi="Times New Roman" w:cs="Times New Roman"/>
          <w:sz w:val="28"/>
          <w:szCs w:val="28"/>
        </w:rPr>
      </w:pPr>
    </w:p>
    <w:p w:rsidR="00FC3F56" w:rsidRDefault="00FC3F56">
      <w:bookmarkStart w:id="0" w:name="_GoBack"/>
      <w:bookmarkEnd w:id="0"/>
    </w:p>
    <w:sectPr w:rsidR="00FC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681A"/>
    <w:multiLevelType w:val="hybridMultilevel"/>
    <w:tmpl w:val="B382108E"/>
    <w:lvl w:ilvl="0" w:tplc="A3A6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7"/>
    <w:rsid w:val="001475C7"/>
    <w:rsid w:val="00576DD4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BBB6-C284-499A-BDBA-43C3541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DD4"/>
    <w:rPr>
      <w:b/>
      <w:bCs/>
    </w:rPr>
  </w:style>
  <w:style w:type="character" w:styleId="a5">
    <w:name w:val="Hyperlink"/>
    <w:basedOn w:val="a0"/>
    <w:uiPriority w:val="99"/>
    <w:unhideWhenUsed/>
    <w:rsid w:val="00576D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avni.ru/goto.ashx?type=ExternalLink&amp;out=https%3A%2F%2Frealty.ria.ru%2F20141218%2F404046993.html" TargetMode="External"/><Relationship Id="rId5" Type="http://schemas.openxmlformats.org/officeDocument/2006/relationships/hyperlink" Target="https://www.sravni.ru/q/kak-povlijaet-na-ehkonomiku-rezkoe-povyshenie-kljuchevoj-stavki-427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2022-06-28T06:39:00Z</dcterms:created>
  <dcterms:modified xsi:type="dcterms:W3CDTF">2022-06-28T06:39:00Z</dcterms:modified>
</cp:coreProperties>
</file>