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FEB" w:rsidRPr="00767FEB" w:rsidRDefault="00767FEB" w:rsidP="00767FEB">
      <w:pPr>
        <w:pBdr>
          <w:bottom w:val="dotted" w:sz="6" w:space="1" w:color="CCCCCC"/>
        </w:pBdr>
        <w:spacing w:before="120" w:after="240" w:line="240" w:lineRule="auto"/>
        <w:outlineLvl w:val="0"/>
        <w:rPr>
          <w:rFonts w:ascii="Arial" w:eastAsia="Times New Roman" w:hAnsi="Arial" w:cs="Arial"/>
          <w:b/>
          <w:bCs/>
          <w:color w:val="555555"/>
          <w:kern w:val="36"/>
          <w:sz w:val="38"/>
          <w:szCs w:val="38"/>
          <w:lang w:eastAsia="ru-RU"/>
        </w:rPr>
      </w:pPr>
      <w:r w:rsidRPr="00767FEB">
        <w:rPr>
          <w:rFonts w:ascii="Arial" w:eastAsia="Times New Roman" w:hAnsi="Arial" w:cs="Arial"/>
          <w:b/>
          <w:bCs/>
          <w:color w:val="555555"/>
          <w:kern w:val="36"/>
          <w:sz w:val="38"/>
          <w:szCs w:val="38"/>
          <w:lang w:eastAsia="ru-RU"/>
        </w:rPr>
        <w:t>Гарантийный фонд как инструмент развития малого и среднего бизнеса Карачаево-Черкесской республики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Вопрос устойчивого развития малого и среднего бизнеса приобретает в современных условиях особую экономическую и социальную значимость. Этому вопросу уделяется пристальное внимание, и занимает одно из первых мест в рейтинге экономических приоритетов как нашего государства, так и многих стран мира. На рисунке 1 приведены данные, характеризующие развитие малого и среднего </w:t>
      </w:r>
      <w:proofErr w:type="gram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предпринимательства[</w:t>
      </w:r>
      <w:proofErr w:type="gram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11].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5F13453D" wp14:editId="376DA02A">
            <wp:extent cx="5819775" cy="2428875"/>
            <wp:effectExtent l="0" t="0" r="9525" b="9525"/>
            <wp:docPr id="1" name="Рисунок 1" descr="Количество предприятий МСП на 1000 чел. в России и ми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оличество предприятий МСП на 1000 чел. в России и мир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Как видно из приведенных данных, наибольшее значение по данному показателю наблюдается по США. У них на 1000 человек приходится около 90 предприятий микро, малого и среднего бизнеса. В странах Европы (EC-28) этот показатель составляет </w:t>
      </w:r>
      <w:proofErr w:type="gram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57,что</w:t>
      </w:r>
      <w:proofErr w:type="gram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значительно ниже чем в США-1,58 раза.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Карачаево-Черкесской республике число активных компаний на 1000 человек в трудоспособном возрасте и старше составляет 11,58, что в 2,4 раза меньше, чем в среднем по стране. Число предпринимателей на 1000 человек в трудоспособном возрасте и старше составляет 13,31, что в 2,1 раза меньше, чем в среднем по стране. Среди субъектов СКФО по этим показателям КЧР занимает второе место после Ставропольского края. Приведенные данные показывают, что в регионе уделяется недостаточное внимание развитию малого и среднего бизнеса. Поддержка малого и среднего предпринимательства (далее МСП) со стороны государства рассматривается как одно из направлений экономической реформы, способствующее формированию дополнительных рабочих мест (снижение уровня безработицы), увеличению налоговых отчислений в бюджеты всех уровней, развитии инновационных технологий, росту конкуренции, наполнению потребительского рынка [1].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Послании ФС Президент РФ отметил, что свобода предпринимательства является важнейшим экономическим и общественно значимым вопросом. Одним из способов поддержки предпринимательской активности назвал оздоровление банковской системы и постепенное снижение доли государства в экономике. Как считает российский президент, бизнес необходимо освободить от необоснованного давления со стороны представителей властей и правоохранительных органов. Кроме того, глава государства назвал ограниченный доступ к финансовым </w:t>
      </w: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ресурсам одной из ключевых проблем для российских бизнесменов и призвал улучить условия для поддержки </w:t>
      </w:r>
      <w:proofErr w:type="spellStart"/>
      <w:proofErr w:type="gram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предпринимательства.Данный</w:t>
      </w:r>
      <w:proofErr w:type="spellEnd"/>
      <w:proofErr w:type="gram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сектор экономики привносит всего лишь 21% в общий объем ВВП, необходимо улучшить этот показатель созданием благоприятной деловой среды [2].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Субъекты малого и среднего предпринимательства (СМСП) - один из ключевых элементов, обеспечивающих конкурентоспособность экономики государства, создание новых рабочих мест, развитие инноваций и рост налоговых поступлений в бюджет. Поэтому, для их развития должны быть созданы все условия. В настоящее время активное развитие предпринимательства в современной рыночной экономике играет ключевую роль в достижении экономического успеха, достаточно высоких темпов роста промышленного производства. Именно предпринимательство является фундаментом инновационного и продуктивного характера </w:t>
      </w:r>
      <w:proofErr w:type="gram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экономики[</w:t>
      </w:r>
      <w:proofErr w:type="gram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3].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Превратить малый и средний бизнес в один из двигателей экономического развития и помочь в формировании среднего класса способно расширение этого сектора экономики. Для этого, в соответствии с постановлением Правительства КЧР от 15.09.2009№ 322 был создан Гарантийный фонд КЧР [4].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Одной из проблем малого и среднего бизнеса (далее-МСБ) является затрудненный доступ к финансовым ресурсам из-за недостаточного обеспечения. При выдаче кредита банки требуют ликвидный залог в размере полной стоимости </w:t>
      </w:r>
      <w:proofErr w:type="gram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кредита[</w:t>
      </w:r>
      <w:proofErr w:type="gram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5].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Многие предприниматели просто-напросто не имеют достаточного объёма залогового имущества для полного обеспечения требуемого кредита. Кроме того, отсутствие у части субъектов СМСП хорошей кредитной истории предопределяет отказ банков от предоставления кредита, либо под высокой процент на невыгодных условиях. Всё это существенно снижает предпринимательскую активность населения, не стимулирует развитие малого и среднего бизнеса в регионе. Для обеспечения доступа к кредитным услугам финансовых организаций и решения этой проблемы в регионах РФ за счет государственных средств создаются Гарантийные </w:t>
      </w:r>
      <w:proofErr w:type="gram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фонды[</w:t>
      </w:r>
      <w:proofErr w:type="gram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12].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Развитие МСП является важнейшим направлением работы государства. В соответствии с </w:t>
      </w:r>
      <w:proofErr w:type="gram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постановлением[</w:t>
      </w:r>
      <w:proofErr w:type="gram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6] количество МСП (включая индивидуальных предпринимателей) увеличится к 2020г. до 44,5 единицы в расчете на 1 тыс. человек населения Российской Федерации. Помимо этого, 19 февраля 2015г. Министерство экономического развития Российской Федерации издало Приказ [7], где утверждены основные положения стратегии развития национальной гарантийной системы поддержки малого и среднего предпринимательства на период до 2020 года.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Кроме региональных гарантийных фондов (далее-РГО) схожие функции, в зависимости от специфики региона, могут выполнять агентства (центры) развития предпринимательства и фонды поддержки малого и среднего предпринимательства. Проанализируем работу Гарантийного фонда КЧР.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Карачаево-Черкесское республиканское государственное унитарное предприятие «Гарантийный фонд поддержки предпринимательства Карачаево-Черкесской Республики» (далее - Гарантийный фонд ППКЧР) создано 23 сентября в 2009 году в рамках республиканской целевой программы «Развитие субъектов малого и среднего предпринимательства в Карачаево-Черкесской Республике на </w:t>
      </w: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2009-2011 </w:t>
      </w:r>
      <w:proofErr w:type="gram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годы»[</w:t>
      </w:r>
      <w:proofErr w:type="gram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8]. Курирующим органом Фонда выступает Министерство экономического развития КЧР.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Главной целью Фонда является - содействие развитию кредитования субъектов малого и среднего предпринимательства, зарегистрированных на территории КЧР, у которых недостаточно залогового обеспечения для получения необходимой суммы кредита. Максимальный процент поручительства не более 70% от общей суммы кредита. Поручительство фонда позволяет разделить риски, связанные с предоставлением кредитных ресурсов, между заемщиком, банком и государством.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Основной задачей Фонда является оптимизация взаимовыгодного сотрудничества субъектов малого и среднего предпринимательства КЧР и финансовых организаций, расположенных в регионе.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Положительными моментами деятельности ГФ являются следующие:</w:t>
      </w:r>
    </w:p>
    <w:p w:rsidR="00767FEB" w:rsidRPr="00767FEB" w:rsidRDefault="00767FEB" w:rsidP="00767FEB">
      <w:pPr>
        <w:numPr>
          <w:ilvl w:val="0"/>
          <w:numId w:val="1"/>
        </w:numPr>
        <w:spacing w:after="0" w:line="240" w:lineRule="auto"/>
        <w:ind w:left="1200" w:right="12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привлечение больших кредитных средств в экономику региона, где функционирует ГФ;</w:t>
      </w:r>
    </w:p>
    <w:p w:rsidR="00767FEB" w:rsidRPr="00767FEB" w:rsidRDefault="00767FEB" w:rsidP="00767FEB">
      <w:pPr>
        <w:numPr>
          <w:ilvl w:val="0"/>
          <w:numId w:val="1"/>
        </w:numPr>
        <w:spacing w:after="0" w:line="240" w:lineRule="auto"/>
        <w:ind w:left="1200" w:right="12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доли МСБ в валовом региональном продукте региона;</w:t>
      </w:r>
    </w:p>
    <w:p w:rsidR="00767FEB" w:rsidRPr="00767FEB" w:rsidRDefault="00767FEB" w:rsidP="00767FEB">
      <w:pPr>
        <w:numPr>
          <w:ilvl w:val="0"/>
          <w:numId w:val="1"/>
        </w:numPr>
        <w:spacing w:after="0" w:line="240" w:lineRule="auto"/>
        <w:ind w:left="1200" w:right="12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новых рабочих мест и поддержание существующих;</w:t>
      </w:r>
    </w:p>
    <w:p w:rsidR="00767FEB" w:rsidRPr="00767FEB" w:rsidRDefault="00767FEB" w:rsidP="00767FEB">
      <w:pPr>
        <w:numPr>
          <w:ilvl w:val="0"/>
          <w:numId w:val="1"/>
        </w:numPr>
        <w:spacing w:after="0" w:line="240" w:lineRule="auto"/>
        <w:ind w:left="1200" w:right="12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получения кредита при отсутствии собственного достаточного обеспечения по нему;</w:t>
      </w:r>
    </w:p>
    <w:p w:rsidR="00767FEB" w:rsidRPr="00767FEB" w:rsidRDefault="00767FEB" w:rsidP="00767FEB">
      <w:pPr>
        <w:numPr>
          <w:ilvl w:val="0"/>
          <w:numId w:val="1"/>
        </w:numPr>
        <w:spacing w:after="0" w:line="240" w:lineRule="auto"/>
        <w:ind w:left="1200" w:right="12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простота схемы получения поручительства.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Поручительства Гарантийного фонда предоставляются:</w:t>
      </w:r>
    </w:p>
    <w:p w:rsidR="00767FEB" w:rsidRPr="00767FEB" w:rsidRDefault="00767FEB" w:rsidP="00767FEB">
      <w:pPr>
        <w:numPr>
          <w:ilvl w:val="0"/>
          <w:numId w:val="2"/>
        </w:numPr>
        <w:spacing w:after="0" w:line="240" w:lineRule="auto"/>
        <w:ind w:left="1200" w:right="12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субъектам малого и среднего предпринимательства зарегистрированным на территории КЧР;</w:t>
      </w:r>
    </w:p>
    <w:p w:rsidR="00767FEB" w:rsidRPr="00767FEB" w:rsidRDefault="00767FEB" w:rsidP="00767FEB">
      <w:pPr>
        <w:numPr>
          <w:ilvl w:val="0"/>
          <w:numId w:val="2"/>
        </w:numPr>
        <w:spacing w:after="0" w:line="240" w:lineRule="auto"/>
        <w:ind w:left="1200" w:right="12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3 предшествующих месяца не должно быть задолженности, нарушений условий ранее заключенных кредитных договоров и т.п.;</w:t>
      </w:r>
    </w:p>
    <w:p w:rsidR="00767FEB" w:rsidRPr="00767FEB" w:rsidRDefault="00767FEB" w:rsidP="00767FEB">
      <w:pPr>
        <w:numPr>
          <w:ilvl w:val="0"/>
          <w:numId w:val="2"/>
        </w:numPr>
        <w:spacing w:after="0" w:line="240" w:lineRule="auto"/>
        <w:ind w:left="1200" w:right="12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последнюю отчетную дату не должно быть просроченной задолженности по начисленным налогам, сборам и иным обязательным платежам перед бюджетами;</w:t>
      </w:r>
    </w:p>
    <w:p w:rsidR="00767FEB" w:rsidRPr="00767FEB" w:rsidRDefault="00767FEB" w:rsidP="00767FEB">
      <w:pPr>
        <w:numPr>
          <w:ilvl w:val="0"/>
          <w:numId w:val="2"/>
        </w:numPr>
        <w:spacing w:after="0" w:line="240" w:lineRule="auto"/>
        <w:ind w:left="1200" w:right="12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течение двух предшествующих лет не применялись процедуры несостоятельности (банкротства);</w:t>
      </w:r>
    </w:p>
    <w:p w:rsidR="00767FEB" w:rsidRPr="00767FEB" w:rsidRDefault="00767FEB" w:rsidP="00767FEB">
      <w:pPr>
        <w:numPr>
          <w:ilvl w:val="0"/>
          <w:numId w:val="2"/>
        </w:numPr>
        <w:spacing w:after="0" w:line="240" w:lineRule="auto"/>
        <w:ind w:left="1200" w:right="12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предоставившим обеспечение кредита в размере не менее 30 процентов от суммы своих обязательств в части возврата, фактически полученной суммы кредита и уплаты процентов на нее;</w:t>
      </w:r>
    </w:p>
    <w:p w:rsidR="00767FEB" w:rsidRPr="00767FEB" w:rsidRDefault="00767FEB" w:rsidP="00767FEB">
      <w:pPr>
        <w:numPr>
          <w:ilvl w:val="0"/>
          <w:numId w:val="2"/>
        </w:numPr>
        <w:spacing w:after="0" w:line="240" w:lineRule="auto"/>
        <w:ind w:left="1200" w:right="12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максимальная сумма поручительства составляет 10 процентов от общей суммы капитализации при одной сделке, но не более 15 процентов при заключении нескольких договоров одному субъекту МСП;</w:t>
      </w:r>
    </w:p>
    <w:p w:rsidR="00767FEB" w:rsidRPr="00767FEB" w:rsidRDefault="00767FEB" w:rsidP="00767FEB">
      <w:pPr>
        <w:numPr>
          <w:ilvl w:val="0"/>
          <w:numId w:val="2"/>
        </w:numPr>
        <w:spacing w:after="0" w:line="240" w:lineRule="auto"/>
        <w:ind w:left="1200" w:right="12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плата субъектов малого и среднего предпринимательства за поручительство Фонда составляет, в зависимости от вида деятельности:</w:t>
      </w:r>
    </w:p>
    <w:p w:rsidR="00767FEB" w:rsidRPr="00767FEB" w:rsidRDefault="00767FEB" w:rsidP="00767FEB">
      <w:pPr>
        <w:numPr>
          <w:ilvl w:val="1"/>
          <w:numId w:val="2"/>
        </w:numPr>
        <w:spacing w:after="0" w:line="240" w:lineRule="auto"/>
        <w:ind w:left="2400" w:right="24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договорам займа, заключенным с АУ КЧР «</w:t>
      </w:r>
      <w:proofErr w:type="spell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Микрокредитная</w:t>
      </w:r>
      <w:proofErr w:type="spell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компания поддержки субъектов малого и среднего предпринимательства Карачаево-Черкесской Республики» -1,0 процента годовых от суммы Поручительства;</w:t>
      </w:r>
    </w:p>
    <w:p w:rsidR="00767FEB" w:rsidRPr="00767FEB" w:rsidRDefault="00767FEB" w:rsidP="00767FEB">
      <w:pPr>
        <w:numPr>
          <w:ilvl w:val="1"/>
          <w:numId w:val="2"/>
        </w:numPr>
        <w:spacing w:after="0" w:line="240" w:lineRule="auto"/>
        <w:ind w:left="2400" w:right="24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 договорам финансовой аренды (лизинга) - 2,25 процента годовых от суммы Поручительства;</w:t>
      </w:r>
    </w:p>
    <w:p w:rsidR="00767FEB" w:rsidRPr="00767FEB" w:rsidRDefault="00767FEB" w:rsidP="00767FEB">
      <w:pPr>
        <w:numPr>
          <w:ilvl w:val="1"/>
          <w:numId w:val="2"/>
        </w:numPr>
        <w:spacing w:after="0" w:line="240" w:lineRule="auto"/>
        <w:ind w:left="2400" w:right="24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Производство, строительство, сельское хозяйство и туризм - 1,5 процента годовых от суммы Поручительства;</w:t>
      </w:r>
    </w:p>
    <w:p w:rsidR="00767FEB" w:rsidRPr="00767FEB" w:rsidRDefault="00767FEB" w:rsidP="00767FEB">
      <w:pPr>
        <w:numPr>
          <w:ilvl w:val="1"/>
          <w:numId w:val="2"/>
        </w:numPr>
        <w:spacing w:after="0" w:line="240" w:lineRule="auto"/>
        <w:ind w:left="2400" w:right="24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Оптовая и розничная торговля - 2,0 процента годовых от суммы Поручительства;</w:t>
      </w:r>
    </w:p>
    <w:p w:rsidR="00767FEB" w:rsidRPr="00767FEB" w:rsidRDefault="00767FEB" w:rsidP="00767FEB">
      <w:pPr>
        <w:numPr>
          <w:ilvl w:val="1"/>
          <w:numId w:val="2"/>
        </w:numPr>
        <w:spacing w:after="0" w:line="240" w:lineRule="auto"/>
        <w:ind w:left="2400" w:right="24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Прочие виды деятельности - 1,75 процента годовых от суммы Поручительства.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Вознаграждение за Поручительство уплачивается Заемщиком единовременно, в срок не позднее трех дней с даты заключения Договора поручительства, за счет собственных средств.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Учредителями Гарантийного фонда является Министерство имущественных и земельных отношений КЧР. Для осуществления своей деятельности Гарантийным фондом КЧР заключаются Соглашения о сотрудничестве с Финансовыми организациями, которые соответствуют требованиям, установленными Министерством экономического развития Российской Федерации.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сегодняшний день Гарантийный фонд КЧР работает с 10 (десятью) банками-партнерами и АУ «</w:t>
      </w:r>
      <w:proofErr w:type="spell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Микрокредитная</w:t>
      </w:r>
      <w:proofErr w:type="spell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компания КЧР» [9].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Чтобы Гарантийные фонды были платежеспособными, их активы должны быть размещены достаточно надежно. Существует несколько вариантов размещения активов Гарантийных фондов, но наиболее востребованным являются депозиты в банках.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 активов Гарантийного фонда на депозитных счетах осуществляется на конкурсной основе. Наибольший объём выданных поручительств с начала деятельности Фонда приходится на ПАО «Сбербанк» - 53,42%. Далее расположены ПАО «МИнБ»-16,91 % и АУ «</w:t>
      </w:r>
      <w:proofErr w:type="spell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Микрокредитная</w:t>
      </w:r>
      <w:proofErr w:type="spell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компания КЧР» -13,83 %. О чем это говорит? О том, что в эти финансовые организации население нашего региона обращается чаще всего (рисунок 2).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01541E24" wp14:editId="605CBC9A">
            <wp:extent cx="5838825" cy="3476625"/>
            <wp:effectExtent l="0" t="0" r="9525" b="9525"/>
            <wp:docPr id="2" name="Рисунок 2" descr="Количество выданных поручительств Гарантийным фондом КЧР за период с 2009 г. по 2019 г. в разрезе банкон-партне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оличество выданных поручительств Гарантийным фондом КЧР за период с 2009 г. по 2019 г. в разрезе банкон-партнеров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начала деятельности по 1 января 2018г. Гарантийным фондом КЧР выдано 288 поручительств (рисунок 3). Наибольшее количество выданных поручительств было в 2011 году. Их количество составляет - 68.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1314EA8D" wp14:editId="2C73124C">
            <wp:extent cx="5915025" cy="2714625"/>
            <wp:effectExtent l="0" t="0" r="9525" b="9525"/>
            <wp:docPr id="3" name="Рисунок 3" descr="Количество выданных поручительств с начала деятельности по 1 января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оличество выданных поручительств с начала деятельности по 1 января 20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Показатели Фонда с начала деятельности, отображены в таблице №1, по каждому банку-партнеру в отдельности.</w:t>
      </w:r>
    </w:p>
    <w:p w:rsidR="00767FEB" w:rsidRPr="00767FEB" w:rsidRDefault="00767FEB" w:rsidP="00767FE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555555"/>
          <w:lang w:eastAsia="ru-RU"/>
        </w:rPr>
      </w:pPr>
      <w:r w:rsidRPr="00767FEB">
        <w:rPr>
          <w:rFonts w:ascii="Arial" w:eastAsia="Times New Roman" w:hAnsi="Arial" w:cs="Arial"/>
          <w:b/>
          <w:bCs/>
          <w:color w:val="555555"/>
          <w:lang w:eastAsia="ru-RU"/>
        </w:rPr>
        <w:t>Таблица 1 - Результаты деятельности Фонда (с начала деятельности по 1 января 2018г.) тыс. руб. (составлено автором)</w:t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2"/>
        <w:gridCol w:w="2984"/>
        <w:gridCol w:w="3093"/>
      </w:tblGrid>
      <w:tr w:rsidR="00767FEB" w:rsidRPr="00767FEB" w:rsidTr="00767FEB">
        <w:trPr>
          <w:tblHeader/>
        </w:trPr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С начала деятельности</w:t>
            </w:r>
          </w:p>
        </w:tc>
      </w:tr>
      <w:tr w:rsidR="00767FEB" w:rsidRPr="00767FEB" w:rsidTr="00767FEB">
        <w:trPr>
          <w:tblHeader/>
        </w:trPr>
        <w:tc>
          <w:tcPr>
            <w:tcW w:w="0" w:type="auto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Сумма привлеченных кредитов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Сумма выданных поручительств</w:t>
            </w:r>
          </w:p>
        </w:tc>
      </w:tr>
      <w:tr w:rsidR="00767FEB" w:rsidRPr="00767FEB" w:rsidTr="00767FE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АУ «</w:t>
            </w:r>
            <w:proofErr w:type="spellStart"/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Микрокреднтная</w:t>
            </w:r>
            <w:proofErr w:type="spellEnd"/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компания КЧР»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109 552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65 284</w:t>
            </w:r>
          </w:p>
        </w:tc>
      </w:tr>
      <w:tr w:rsidR="00767FEB" w:rsidRPr="00767FEB" w:rsidTr="00767FE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ПАО «Сбербанк»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814 184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252 208</w:t>
            </w:r>
          </w:p>
        </w:tc>
      </w:tr>
      <w:tr w:rsidR="00767FEB" w:rsidRPr="00767FEB" w:rsidTr="00767FE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ПАО «</w:t>
            </w:r>
            <w:proofErr w:type="spellStart"/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МИнБ</w:t>
            </w:r>
            <w:proofErr w:type="spellEnd"/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2 893 980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79 810</w:t>
            </w:r>
          </w:p>
        </w:tc>
      </w:tr>
      <w:tr w:rsidR="00767FEB" w:rsidRPr="00767FEB" w:rsidTr="00767FE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АО «</w:t>
            </w:r>
            <w:proofErr w:type="spellStart"/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Тексбанк</w:t>
            </w:r>
            <w:proofErr w:type="spellEnd"/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129 460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64 730</w:t>
            </w:r>
          </w:p>
        </w:tc>
      </w:tr>
      <w:tr w:rsidR="00767FEB" w:rsidRPr="00767FEB" w:rsidTr="00767FE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АО «Народный банк»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19 700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9 850</w:t>
            </w:r>
          </w:p>
        </w:tc>
      </w:tr>
      <w:tr w:rsidR="00767FEB" w:rsidRPr="00767FEB" w:rsidTr="00767FE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ВТБ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1 400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767FEB" w:rsidRPr="00767FEB" w:rsidTr="00767FE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3 968 277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767FEB" w:rsidRPr="00767FEB" w:rsidRDefault="00767FEB" w:rsidP="00767F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7FE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472 082</w:t>
            </w:r>
          </w:p>
        </w:tc>
      </w:tr>
    </w:tbl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Основная сумма выданных поручительств приходится на ПАО «Сбербанк» 252208 тыс. руб., что составляет 53,4 процента. Далее </w:t>
      </w:r>
      <w:proofErr w:type="spell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расположенПАО</w:t>
      </w:r>
      <w:proofErr w:type="spell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МИнБ</w:t>
      </w:r>
      <w:proofErr w:type="spell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»- 16,9 %, замыкает тройку лидеров-АУ «</w:t>
      </w:r>
      <w:proofErr w:type="spell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Микрокредитная</w:t>
      </w:r>
      <w:proofErr w:type="spell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компания КЧР»- на ее долю приходится 13,8%.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Главная цель государственной политики на современном этапе изыскать внутренние ресурсы и пройти экономические трудности без существенных потерь и потрясений. Следовательно, необходимо перейти от антикризисных мер к мерам экономического стимулирования путем реализации различных программ и мер государственной поддержки.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дальнейшего развития системы успешной работы фонда нашей Республики нужны денежные средства. Капитал формируется за счет средств федерального и регионального бюджетов на условиях </w:t>
      </w:r>
      <w:proofErr w:type="spell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софинансирования</w:t>
      </w:r>
      <w:proofErr w:type="spell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Изначально капитал Гарантийного фонда КЧР составлял 100 млн. рублей, за историю своего существования </w:t>
      </w:r>
      <w:proofErr w:type="spell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докапитализировали</w:t>
      </w:r>
      <w:proofErr w:type="spell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 раз в 2015 году на 46 114 220 рублей. На сегодняшний день капитализация фонда составляет 137 514 220 рублей. Для того, чтобы Фонд оказывал существенную поддержку СМСП требуется </w:t>
      </w:r>
      <w:proofErr w:type="spell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докапитализация</w:t>
      </w:r>
      <w:proofErr w:type="spell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Это позволит Гарантийному фонду увеличить объем предоставляемых поручительств на развитие малого и среднего бизнеса. Как показывает зарубежный опыт, непременное условие успеха в развитии субъектов малого бизнеса заключается во всесторонней и стабильной государственной поддержке. В экономически развитых странах субъектам малого бизнеса оказывается существенная поддержка, поскольку малый бизнес - важный экономический сектор, который оказывает влияние на развитие экономики и решение социальных проблем [10].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Государственная поддержка субъектов малого предпринимательства представлена системой финансово-экономического, организационно-правового и социального обеспечения функционирования и развития малых предприятий.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зарубежных странах осуществляется серьезная поддержка МСП государства, и многие страны организовали гарантийные фонды. Примерами могут служить ГФ в США, Франции, Италии, Германии, Польши и многие другие страны. Европейская ассоциация гарантийных фондов, объединяющая 39 членов и 19 государств-членов Еврозоны, обладает капиталом более 10 </w:t>
      </w:r>
      <w:proofErr w:type="spellStart"/>
      <w:proofErr w:type="gram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млрд.евро</w:t>
      </w:r>
      <w:proofErr w:type="spellEnd"/>
      <w:proofErr w:type="gram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выдала гарантий на сумму более 30 млрд. евро. В этих странах доля МСП в ВВП превышает 55-70%. Этот результат, также достигнут с помощью системы работы Гарантийных фондов. Для российских предпринимателей и сформированы реально работающие механизмы поддержки финансирования предпринимательства в нашей стране.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Одной из наиболее эффективных форм поддержки, служащей реализации целей государственной политики, является создание региональных гарантийных фондов. Проводимая государством целенаправленная политика, стимулирующая финансовые структуры к вложению денежных средств в малый и средний бизнес, способствует интенсивному росту сектора </w:t>
      </w:r>
      <w:proofErr w:type="gram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МСП[</w:t>
      </w:r>
      <w:proofErr w:type="gram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10].</w:t>
      </w:r>
    </w:p>
    <w:p w:rsidR="00767FEB" w:rsidRPr="00767FEB" w:rsidRDefault="00767FEB" w:rsidP="00767FEB">
      <w:pPr>
        <w:spacing w:before="168" w:after="168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Таким образом, </w:t>
      </w:r>
      <w:proofErr w:type="gram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поддержка</w:t>
      </w:r>
      <w:proofErr w:type="gram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оказываемая предпринимателям в КЧР через механизм Гарантийного фонда имеет потенциал к изменению показателей эффективности в лучшую сторону. Гарантийный фонд вносит свой </w:t>
      </w:r>
      <w:proofErr w:type="spellStart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вкладв</w:t>
      </w:r>
      <w:proofErr w:type="spellEnd"/>
      <w:r w:rsidRPr="00767F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становление устойчивой системы банковского кредитования в регионе, что будет способствовать предпринимательской активности.</w:t>
      </w:r>
    </w:p>
    <w:p w:rsidR="00786191" w:rsidRDefault="00786191"/>
    <w:sectPr w:rsidR="00786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D0CCF"/>
    <w:multiLevelType w:val="multilevel"/>
    <w:tmpl w:val="21BA5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1A5C59"/>
    <w:multiLevelType w:val="multilevel"/>
    <w:tmpl w:val="195E6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19F"/>
    <w:rsid w:val="005A619F"/>
    <w:rsid w:val="00767FEB"/>
    <w:rsid w:val="0078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0AF43"/>
  <w15:chartTrackingRefBased/>
  <w15:docId w15:val="{67CBAF04-6F69-49FC-9BB9-18D79400E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7321">
          <w:marLeft w:val="0"/>
          <w:marRight w:val="0"/>
          <w:marTop w:val="240"/>
          <w:marBottom w:val="240"/>
          <w:divBdr>
            <w:top w:val="dashed" w:sz="6" w:space="12" w:color="CCCCCC"/>
            <w:left w:val="dashed" w:sz="6" w:space="30" w:color="CCCCCC"/>
            <w:bottom w:val="dashed" w:sz="6" w:space="12" w:color="CCCCCC"/>
            <w:right w:val="dashed" w:sz="6" w:space="30" w:color="CCCCCC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1952</Words>
  <Characters>11133</Characters>
  <Application>Microsoft Office Word</Application>
  <DocSecurity>0</DocSecurity>
  <Lines>92</Lines>
  <Paragraphs>26</Paragraphs>
  <ScaleCrop>false</ScaleCrop>
  <Company/>
  <LinksUpToDate>false</LinksUpToDate>
  <CharactersWithSpaces>13059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3</cp:revision>
  <dcterms:created xsi:type="dcterms:W3CDTF">2026-03-25T13:48:00Z</dcterms:created>
  <dcterms:modified xsi:type="dcterms:W3CDTF">2026-03-25T13:49:00Z</dcterms:modified>
</cp:coreProperties>
</file>