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B6" w:rsidRDefault="00ED20B6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D20B6" w:rsidRPr="00134C19" w:rsidRDefault="00ED20B6" w:rsidP="00ED20B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КАРАЧАЕВО-</w:t>
      </w:r>
      <w:proofErr w:type="gramStart"/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ЧЕРКЕССКАЯ  РЕСПУБЛИКА</w:t>
      </w:r>
      <w:proofErr w:type="gramEnd"/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ГЮРЮЛЬДЕУКСКОГО СЕЛЬСКОГО ПОСЕЛЕНИЯ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ED20B6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34C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45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E3E34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134C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 »  _</w:t>
      </w:r>
      <w:r w:rsidR="001D745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E3E34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_ 2022г.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 а. Гюрю</w:t>
      </w:r>
      <w:r>
        <w:rPr>
          <w:rFonts w:ascii="Times New Roman" w:eastAsia="Times New Roman" w:hAnsi="Times New Roman" w:cs="Times New Roman"/>
          <w:sz w:val="28"/>
          <w:szCs w:val="28"/>
        </w:rPr>
        <w:t>льдеук                       №</w:t>
      </w:r>
      <w:r w:rsidR="003E3E34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ED20B6" w:rsidRPr="00FB6314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6314" w:rsidRPr="00FB6314" w:rsidRDefault="00FB631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B631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поступления и использования добровольных пожертвований физических </w:t>
      </w:r>
      <w:r>
        <w:rPr>
          <w:rFonts w:ascii="Times New Roman" w:hAnsi="Times New Roman" w:cs="Times New Roman"/>
          <w:b/>
          <w:sz w:val="28"/>
          <w:szCs w:val="28"/>
        </w:rPr>
        <w:t>и юридических лиц в бюджет</w:t>
      </w:r>
    </w:p>
    <w:p w:rsidR="005B3E84" w:rsidRPr="00FB6314" w:rsidRDefault="00FB631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Гюрюльдеукского </w:t>
      </w:r>
      <w:r w:rsidR="005B3E84" w:rsidRPr="00FB63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</w:t>
      </w:r>
    </w:p>
    <w:p w:rsidR="005B3E84" w:rsidRPr="000C18F5" w:rsidRDefault="005B3E8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48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0E48A9" w:rsidRPr="000E48A9">
        <w:rPr>
          <w:rFonts w:ascii="Times New Roman" w:hAnsi="Times New Roman" w:cs="Times New Roman"/>
          <w:sz w:val="28"/>
          <w:szCs w:val="28"/>
        </w:rPr>
        <w:t>В соответствии со статьями 41 и 47 Бюджетного кодекса Российской Федерации, Гражданским кодексом Российской Федерации, статьей 55 Федерального закона от 06.10.2003 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0E48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Гюрюльдеукского</w:t>
      </w:r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ПОСТАНОВЛЯЮ: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6314" w:rsidRPr="00FB6314" w:rsidRDefault="005B3E8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1. Утвердить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FB6314" w:rsidRPr="00FB6314">
        <w:rPr>
          <w:rFonts w:ascii="Times New Roman" w:hAnsi="Times New Roman" w:cs="Times New Roman"/>
          <w:sz w:val="28"/>
          <w:szCs w:val="28"/>
        </w:rPr>
        <w:t>Положения о порядке поступления и использования добровольных пожертвований физических и юридических лиц в бюджет</w:t>
      </w:r>
    </w:p>
    <w:p w:rsidR="005B3E84" w:rsidRPr="00FB6314" w:rsidRDefault="00FB631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FB631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Гюрюльдеукского</w:t>
      </w:r>
      <w:proofErr w:type="spellEnd"/>
      <w:r w:rsidRPr="00FB631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</w:t>
      </w:r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,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согласно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Приложени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ю.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. 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(обнародовать)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информационном стенде и 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разместить на официальном сайте </w:t>
      </w:r>
      <w:proofErr w:type="gramStart"/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 поселения</w:t>
      </w:r>
      <w:proofErr w:type="gramEnd"/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FB631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3.</w:t>
      </w:r>
      <w:r w:rsidR="00FB6314">
        <w:t xml:space="preserve"> </w:t>
      </w:r>
      <w:r w:rsidR="00FB6314" w:rsidRPr="00FB63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</w:p>
    <w:p w:rsidR="005B3E84" w:rsidRPr="000C18F5" w:rsidRDefault="00FB631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Контроль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за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исполнением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настоящего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постановления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 </w:t>
      </w:r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оставляю за собой.</w:t>
      </w: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D20B6" w:rsidRDefault="005B3E8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А.Х.Айбазов</w:t>
      </w:r>
      <w:proofErr w:type="spellEnd"/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Гюрюльдеукского</w:t>
      </w:r>
      <w:proofErr w:type="spellEnd"/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 поселения</w:t>
      </w:r>
      <w:proofErr w:type="gramEnd"/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1D74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3E3E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1D74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3E3E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1D74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2022г.  №</w:t>
      </w:r>
      <w:r w:rsidR="003E3E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P35"/>
      <w:bookmarkEnd w:id="1"/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3E84" w:rsidRPr="00FB6314" w:rsidRDefault="005B3E84" w:rsidP="005B3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6314" w:rsidRPr="00FB6314" w:rsidRDefault="000E48A9" w:rsidP="00FB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14">
        <w:rPr>
          <w:rFonts w:ascii="Times New Roman" w:hAnsi="Times New Roman" w:cs="Times New Roman"/>
          <w:b/>
          <w:sz w:val="28"/>
          <w:szCs w:val="28"/>
        </w:rPr>
        <w:t>Положение о порядке поступления и использования добровольных пожертвований физических и юрид</w:t>
      </w:r>
      <w:r w:rsidR="00FB6314" w:rsidRPr="00FB6314">
        <w:rPr>
          <w:rFonts w:ascii="Times New Roman" w:hAnsi="Times New Roman" w:cs="Times New Roman"/>
          <w:b/>
          <w:sz w:val="28"/>
          <w:szCs w:val="28"/>
        </w:rPr>
        <w:t xml:space="preserve">ических лиц в бюджет </w:t>
      </w:r>
      <w:proofErr w:type="spellStart"/>
      <w:r w:rsidR="00FB6314" w:rsidRPr="00FB6314">
        <w:rPr>
          <w:rFonts w:ascii="Times New Roman" w:hAnsi="Times New Roman" w:cs="Times New Roman"/>
          <w:b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6314" w:rsidRDefault="00FB6314" w:rsidP="000E48A9">
      <w:pPr>
        <w:rPr>
          <w:rFonts w:ascii="Times New Roman" w:hAnsi="Times New Roman" w:cs="Times New Roman"/>
          <w:sz w:val="28"/>
          <w:szCs w:val="28"/>
        </w:rPr>
      </w:pPr>
    </w:p>
    <w:p w:rsidR="00426F4E" w:rsidRDefault="00426F4E" w:rsidP="000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8A9" w:rsidRPr="00FB631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статьями 41 и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r w:rsidR="000E48A9"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48A9"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устанавливает порядок поступления и использования добровольных пожертвований физических и юридических лиц (далее по тексту - добровольные пож</w:t>
      </w:r>
      <w:r>
        <w:rPr>
          <w:rFonts w:ascii="Times New Roman" w:hAnsi="Times New Roman" w:cs="Times New Roman"/>
          <w:sz w:val="28"/>
          <w:szCs w:val="28"/>
        </w:rPr>
        <w:t xml:space="preserve">ертвования)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r w:rsidR="000E48A9"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48A9"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1.1. Средства добровольных пожертвований от физических и юридических лиц могут поступать в виде: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1) добровольных пожертвований без указания конкретной цели платежа;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2) добровольных пожертвований с указанием конкретной цели платежа.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1.2.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предпринимателям. 1.3. Индивидуальные предприниматели,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 на конкретные цели.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1.4. По требованию жертвователя заключается договор пожертвования и обеспечивается доступность информации об использовании добровольных пожертвований.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 1.5. Средства добровольных пожертвований зачисляются в со</w:t>
      </w:r>
      <w:r w:rsidR="00426F4E">
        <w:rPr>
          <w:rFonts w:ascii="Times New Roman" w:hAnsi="Times New Roman" w:cs="Times New Roman"/>
          <w:sz w:val="28"/>
          <w:szCs w:val="28"/>
        </w:rPr>
        <w:t xml:space="preserve">став доходов бюджета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и учитываются по коду бюджетной квалификации «Поступления от денежных пожертвований, предоставляемых физическими лицами получателям средств бюджетов </w:t>
      </w:r>
      <w:r w:rsidRPr="00FB6314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районов» от физических лиц и «Прочие безвозмездные поступления в бюджеты муниципальных районов» от юридических лиц. В состав расходов бюджета включаются в соответствии с указанными целями. 1.6. Средства безвозмездных пожертвований зачисляются на</w:t>
      </w:r>
      <w:r w:rsidR="00426F4E">
        <w:rPr>
          <w:rFonts w:ascii="Times New Roman" w:hAnsi="Times New Roman" w:cs="Times New Roman"/>
          <w:sz w:val="28"/>
          <w:szCs w:val="28"/>
        </w:rPr>
        <w:t xml:space="preserve"> единый счет бюджета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поселения, открытый в Управлении Федерального казначейства по </w:t>
      </w:r>
      <w:r w:rsidR="00426F4E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FB6314">
        <w:rPr>
          <w:rFonts w:ascii="Times New Roman" w:hAnsi="Times New Roman" w:cs="Times New Roman"/>
          <w:sz w:val="28"/>
          <w:szCs w:val="28"/>
        </w:rPr>
        <w:t>.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 1.7. При перечислении средств добровольных пожертвований в платежно</w:t>
      </w:r>
      <w:r w:rsidR="00426F4E">
        <w:rPr>
          <w:rFonts w:ascii="Times New Roman" w:hAnsi="Times New Roman" w:cs="Times New Roman"/>
          <w:sz w:val="28"/>
          <w:szCs w:val="28"/>
        </w:rPr>
        <w:t>-</w:t>
      </w:r>
      <w:r w:rsidRPr="00FB6314">
        <w:rPr>
          <w:rFonts w:ascii="Times New Roman" w:hAnsi="Times New Roman" w:cs="Times New Roman"/>
          <w:sz w:val="28"/>
          <w:szCs w:val="28"/>
        </w:rPr>
        <w:t xml:space="preserve">расчетных документах в назначении платежа может быть указана конкретная цель направления расходования средств. 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2. Цели расходования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Добровольные пожертвования привлекаются для решения вопросов местного значения и иных вопросов, не исключ</w:t>
      </w:r>
      <w:r w:rsidR="00426F4E">
        <w:rPr>
          <w:rFonts w:ascii="Times New Roman" w:hAnsi="Times New Roman" w:cs="Times New Roman"/>
          <w:sz w:val="28"/>
          <w:szCs w:val="28"/>
        </w:rPr>
        <w:t xml:space="preserve">енных из компетенции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федеральными законами </w:t>
      </w:r>
      <w:r w:rsidR="00426F4E">
        <w:rPr>
          <w:rFonts w:ascii="Times New Roman" w:hAnsi="Times New Roman" w:cs="Times New Roman"/>
          <w:sz w:val="28"/>
          <w:szCs w:val="28"/>
        </w:rPr>
        <w:t>и законами Карачаево-Черкесской Республики</w:t>
      </w:r>
      <w:r w:rsidRPr="00FB6314">
        <w:rPr>
          <w:rFonts w:ascii="Times New Roman" w:hAnsi="Times New Roman" w:cs="Times New Roman"/>
          <w:sz w:val="28"/>
          <w:szCs w:val="28"/>
        </w:rPr>
        <w:t>.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 3. Порядок расходования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3.1. Добровольные пожертвования расходуются в соответствии со сводной бюджет</w:t>
      </w:r>
      <w:r w:rsidR="00426F4E">
        <w:rPr>
          <w:rFonts w:ascii="Times New Roman" w:hAnsi="Times New Roman" w:cs="Times New Roman"/>
          <w:sz w:val="28"/>
          <w:szCs w:val="28"/>
        </w:rPr>
        <w:t xml:space="preserve">ной росписью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 с учетом их фактического </w:t>
      </w:r>
      <w:r w:rsidR="00426F4E">
        <w:rPr>
          <w:rFonts w:ascii="Times New Roman" w:hAnsi="Times New Roman" w:cs="Times New Roman"/>
          <w:sz w:val="28"/>
          <w:szCs w:val="28"/>
        </w:rPr>
        <w:t xml:space="preserve">поступления в бюджет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3.2. Расходование добровольных пожертвований осуществляется в соответствии со статьей 219 Бюджетного кодекса Российской Федерации путем подтверждения денежных обязательств, принятых получате</w:t>
      </w:r>
      <w:r w:rsidR="00426F4E">
        <w:rPr>
          <w:rFonts w:ascii="Times New Roman" w:hAnsi="Times New Roman" w:cs="Times New Roman"/>
          <w:sz w:val="28"/>
          <w:szCs w:val="28"/>
        </w:rPr>
        <w:t xml:space="preserve">лями средств бюджета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Не допускается использование добровольных пожертвований на цели, не соответствующие объявленным при привлечении пожертвований.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3.3. Средства, не использованные в текущем финансовом году, подлежат использованию в следующем финансовом году на те же цели.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 </w:t>
      </w:r>
      <w:r w:rsidRPr="00426F4E">
        <w:rPr>
          <w:rFonts w:ascii="Times New Roman" w:hAnsi="Times New Roman" w:cs="Times New Roman"/>
          <w:b/>
          <w:sz w:val="28"/>
          <w:szCs w:val="28"/>
        </w:rPr>
        <w:t xml:space="preserve">4. Учет и отчетность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4.1. Бухгалтерский учет поступления и расходования средств добровольных пожертвований осуществляется в соответствии с Приказом Министерства финансов Российской Федерации от 01.12.2010г. № 157н. 4.2. Поступление и расходование средств добровольных пожертвований отражается в бюджетной отчетности главного распорядителя бюджетных средств, утвержденной Приказом Министерства финансов Российской Федерации от 28.12.2010 г. № 191н. 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5. Контроль за расходованием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lastRenderedPageBreak/>
        <w:t>5.1. Контроль за целевым использованием добровольных пожертвований осуществляют главные распорядители сред</w:t>
      </w:r>
      <w:r w:rsidR="00426F4E">
        <w:rPr>
          <w:rFonts w:ascii="Times New Roman" w:hAnsi="Times New Roman" w:cs="Times New Roman"/>
          <w:sz w:val="28"/>
          <w:szCs w:val="28"/>
        </w:rPr>
        <w:t xml:space="preserve">ств бюджета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5.2. Отчет о расходовании средств добровольных пожертвований включается в состав отчета о</w:t>
      </w:r>
      <w:r w:rsidR="00426F4E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426F4E">
        <w:rPr>
          <w:rFonts w:ascii="Times New Roman" w:hAnsi="Times New Roman" w:cs="Times New Roman"/>
          <w:sz w:val="28"/>
          <w:szCs w:val="28"/>
        </w:rPr>
        <w:t>Гюрюльдеук</w:t>
      </w:r>
      <w:r w:rsidRPr="00FB63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за соответствующие периоды текущего финансового года согласно соответствующим кодам бюджетной классификации Российской Федерации. </w:t>
      </w:r>
    </w:p>
    <w:p w:rsidR="00C83608" w:rsidRPr="00FB6314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5.3. Ответственность за нецелевое расходование безвозмездных поступлений несет получатель добровольных пожертвований согласно законодательству Российской Федерации</w:t>
      </w:r>
    </w:p>
    <w:p w:rsidR="00FB6314" w:rsidRPr="00FB6314" w:rsidRDefault="00FB6314" w:rsidP="000E48A9">
      <w:pPr>
        <w:rPr>
          <w:rFonts w:ascii="Times New Roman" w:hAnsi="Times New Roman" w:cs="Times New Roman"/>
          <w:sz w:val="28"/>
          <w:szCs w:val="28"/>
        </w:rPr>
      </w:pPr>
    </w:p>
    <w:p w:rsidR="00FB6314" w:rsidRDefault="00FB6314" w:rsidP="000E48A9"/>
    <w:sectPr w:rsidR="00FB6314" w:rsidSect="00ED2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29"/>
    <w:rsid w:val="000E48A9"/>
    <w:rsid w:val="001D7456"/>
    <w:rsid w:val="003E3E34"/>
    <w:rsid w:val="00426F4E"/>
    <w:rsid w:val="005B3E84"/>
    <w:rsid w:val="00946929"/>
    <w:rsid w:val="00C83608"/>
    <w:rsid w:val="00ED20B6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85CB"/>
  <w15:chartTrackingRefBased/>
  <w15:docId w15:val="{3018B145-C978-41BE-9224-4DFA807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dcterms:created xsi:type="dcterms:W3CDTF">2022-04-11T09:18:00Z</dcterms:created>
  <dcterms:modified xsi:type="dcterms:W3CDTF">2022-12-27T06:53:00Z</dcterms:modified>
</cp:coreProperties>
</file>